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98" w:rsidRPr="00996E98" w:rsidRDefault="00996E98" w:rsidP="00C17BF2">
      <w:pPr>
        <w:spacing w:before="480" w:after="240" w:line="276" w:lineRule="auto"/>
        <w:jc w:val="both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bookmarkStart w:id="0" w:name="_GoBack"/>
      <w:bookmarkEnd w:id="0"/>
      <w:r w:rsidRPr="00996E98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ПРАВИЛА ВНУТРЕННЕГО РАСПОРЯДКА</w:t>
      </w:r>
    </w:p>
    <w:p w:rsidR="00996E98" w:rsidRPr="00996E98" w:rsidRDefault="00996E98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Общежити</w:t>
      </w:r>
      <w:r w:rsidR="00C17BF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й</w:t>
      </w: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</w:t>
      </w:r>
      <w:r w:rsidR="00C17BF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Центра размещения студентов Синергии</w:t>
      </w:r>
    </w:p>
    <w:p w:rsidR="00996E98" w:rsidRPr="00996E98" w:rsidRDefault="00996E98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Настоящие правила обязательны для всех проживающих. Факт заселения и подпись в ведомости означают полное и безоговорочное согласие с данными условиями. Обеспечительный платеж является гарантией соблюдения порядка и возмещения возможного ущерба.</w:t>
      </w:r>
    </w:p>
    <w:p w:rsidR="00996E98" w:rsidRPr="00996E98" w:rsidRDefault="00FB0BE0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96E98" w:rsidRPr="00996E98" w:rsidRDefault="00996E98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СОДЕРЖАНИЕ</w:t>
      </w:r>
    </w:p>
    <w:p w:rsidR="00996E98" w:rsidRPr="00996E98" w:rsidRDefault="00996E98" w:rsidP="00C17BF2">
      <w:pPr>
        <w:numPr>
          <w:ilvl w:val="0"/>
          <w:numId w:val="1"/>
        </w:numPr>
        <w:spacing w:before="100" w:beforeAutospacing="1" w:after="12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Общие правила проживания</w:t>
      </w:r>
    </w:p>
    <w:p w:rsidR="00996E98" w:rsidRPr="00996E98" w:rsidRDefault="00996E98" w:rsidP="00C17BF2">
      <w:pPr>
        <w:numPr>
          <w:ilvl w:val="1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Санитарные нормы и гигиена</w:t>
      </w:r>
    </w:p>
    <w:p w:rsidR="00996E98" w:rsidRPr="00996E98" w:rsidRDefault="00996E98" w:rsidP="00C17BF2">
      <w:pPr>
        <w:numPr>
          <w:ilvl w:val="1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Пользование кухней и бытовой техникой</w:t>
      </w:r>
    </w:p>
    <w:p w:rsidR="00996E98" w:rsidRPr="00996E98" w:rsidRDefault="00996E98" w:rsidP="00C17BF2">
      <w:pPr>
        <w:numPr>
          <w:ilvl w:val="1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График дежурств (кухня, прачечная, коридор)</w:t>
      </w:r>
    </w:p>
    <w:p w:rsidR="00996E98" w:rsidRPr="00996E98" w:rsidRDefault="00996E98" w:rsidP="00C17BF2">
      <w:pPr>
        <w:numPr>
          <w:ilvl w:val="1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 Поведение в общих зонах и уважение к соседям</w:t>
      </w:r>
    </w:p>
    <w:p w:rsidR="00996E98" w:rsidRPr="00996E98" w:rsidRDefault="00996E98" w:rsidP="00C17BF2">
      <w:pPr>
        <w:numPr>
          <w:ilvl w:val="1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1.5. Бережное отношение к имуществу</w:t>
      </w:r>
    </w:p>
    <w:p w:rsidR="00996E98" w:rsidRPr="00996E98" w:rsidRDefault="00996E98" w:rsidP="00C17BF2">
      <w:pPr>
        <w:numPr>
          <w:ilvl w:val="0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Режим тишины и пропускной режим</w:t>
      </w:r>
    </w:p>
    <w:p w:rsidR="00996E98" w:rsidRDefault="00996E98" w:rsidP="00C17BF2">
      <w:pPr>
        <w:numPr>
          <w:ilvl w:val="0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порядка (Проверки комнат)</w:t>
      </w:r>
    </w:p>
    <w:p w:rsidR="005424BB" w:rsidRPr="005424BB" w:rsidRDefault="005424BB" w:rsidP="004277CB">
      <w:pPr>
        <w:numPr>
          <w:ilvl w:val="0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424B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Фиксация нарушений</w:t>
      </w:r>
    </w:p>
    <w:p w:rsidR="00996E98" w:rsidRPr="00996E98" w:rsidRDefault="00996E98" w:rsidP="00C17BF2">
      <w:pPr>
        <w:numPr>
          <w:ilvl w:val="0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Таблица штрафов и санкций</w:t>
      </w:r>
    </w:p>
    <w:p w:rsidR="00996E98" w:rsidRPr="00996E98" w:rsidRDefault="00996E98" w:rsidP="00C17BF2">
      <w:pPr>
        <w:numPr>
          <w:ilvl w:val="0"/>
          <w:numId w:val="1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Порядок оплаты и восстановления платежа</w:t>
      </w:r>
    </w:p>
    <w:p w:rsidR="00996E98" w:rsidRDefault="00FB0BE0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996E98" w:rsidRDefault="00996E98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996E98" w:rsidRDefault="00996E98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996E98" w:rsidRDefault="00996E98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996E98" w:rsidRPr="00996E98" w:rsidRDefault="00996E98" w:rsidP="00C17BF2">
      <w:pPr>
        <w:spacing w:before="480" w:after="48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996E98" w:rsidRPr="00996E98" w:rsidRDefault="00996E98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1. ОБЩИЕ ПРАВИЛА ПРОЖИВАНИЯ</w:t>
      </w:r>
    </w:p>
    <w:p w:rsidR="00996E98" w:rsidRPr="00996E98" w:rsidRDefault="00996E98" w:rsidP="00C17BF2">
      <w:pPr>
        <w:spacing w:before="480" w:after="240" w:line="276" w:lineRule="auto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1.1. Санитарные нормы и гигиена</w:t>
      </w:r>
    </w:p>
    <w:p w:rsidR="00996E98" w:rsidRPr="00996E98" w:rsidRDefault="00996E98" w:rsidP="00C17BF2">
      <w:pPr>
        <w:numPr>
          <w:ilvl w:val="0"/>
          <w:numId w:val="2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Уборка: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аждый жилец обязан поддерживать чистоту в своей комнате и соблюдать чистоту в местах общего пользования (душ, туалет, коридор, кухня).</w:t>
      </w:r>
    </w:p>
    <w:p w:rsidR="00996E98" w:rsidRPr="00996E98" w:rsidRDefault="00996E98" w:rsidP="00C17BF2">
      <w:pPr>
        <w:numPr>
          <w:ilvl w:val="0"/>
          <w:numId w:val="2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Мусор: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апрещается складирование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мусор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комнатах и коридорах. Пищевые отходы необходимо выносить ежедневно, сухой мусор — по мере наполнения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мусорного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ведра.</w:t>
      </w:r>
    </w:p>
    <w:p w:rsidR="00996E98" w:rsidRPr="00996E98" w:rsidRDefault="00996E98" w:rsidP="00C17BF2">
      <w:pPr>
        <w:numPr>
          <w:ilvl w:val="0"/>
          <w:numId w:val="2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Личная гигиена: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осле использования общего душа и туалета необходимо убирать за собой волосы, не оставлять 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разбросанными</w:t>
      </w:r>
      <w:r w:rsidR="00C17BF2"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предметы личной гигиены.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1.2. Пользование кухней и бытовой техникой</w:t>
      </w:r>
    </w:p>
    <w:p w:rsidR="00996E98" w:rsidRPr="00996E98" w:rsidRDefault="00996E98" w:rsidP="00C17BF2">
      <w:pPr>
        <w:numPr>
          <w:ilvl w:val="0"/>
          <w:numId w:val="3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Чистота: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осле приготовления пищи необходимо вымыть за собой посуду, протереть плиту и стол, убрать продукты в холодильник.</w:t>
      </w:r>
    </w:p>
    <w:p w:rsidR="00996E98" w:rsidRPr="00996E98" w:rsidRDefault="00996E98" w:rsidP="00C17BF2">
      <w:pPr>
        <w:numPr>
          <w:ilvl w:val="0"/>
          <w:numId w:val="3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Холодильник: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се продукты должны быть подписаны (ФИО). Просроченные продукты подлежат утилизации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комендантом/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администрацией без предупреждения.</w:t>
      </w:r>
    </w:p>
    <w:p w:rsidR="00996E98" w:rsidRPr="00996E98" w:rsidRDefault="00996E98" w:rsidP="00C17BF2">
      <w:pPr>
        <w:numPr>
          <w:ilvl w:val="0"/>
          <w:numId w:val="3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Техника: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кухне разрешено использование только штатной техники (плита, чайник). Хранение личных электроприборов на кухне запрещено.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Можно пользоваться привезённой электротехникой при условии согласования с комендантом общежития.</w:t>
      </w:r>
    </w:p>
    <w:p w:rsidR="00996E98" w:rsidRPr="00996E98" w:rsidRDefault="00996E98" w:rsidP="00C17BF2">
      <w:pPr>
        <w:numPr>
          <w:ilvl w:val="0"/>
          <w:numId w:val="3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Режим работы: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ухня работает ежедневно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23:00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После 23:00 пользоваться кухней, находиться в ней или хранить там личные вещи запрещено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без индивидуального письменного согласования с комендантом общежития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1.3. График дежурств (кухня, прачечная, коридор)</w:t>
      </w:r>
    </w:p>
    <w:p w:rsidR="00996E98" w:rsidRPr="00996E98" w:rsidRDefault="00996E98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Для поддержания постоянной чистоты вводится система дежурств.</w:t>
      </w:r>
    </w:p>
    <w:p w:rsidR="00996E98" w:rsidRPr="00996E98" w:rsidRDefault="00996E98" w:rsidP="00C17BF2">
      <w:pPr>
        <w:numPr>
          <w:ilvl w:val="0"/>
          <w:numId w:val="4"/>
        </w:numPr>
        <w:spacing w:before="100" w:beforeAutospacing="1" w:after="240" w:line="276" w:lineRule="auto"/>
        <w:ind w:left="0" w:hanging="357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Организация: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ежурство осуществляется по графику, составляемому 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комендантом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размещаемому на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информационном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стенде.</w:t>
      </w:r>
    </w:p>
    <w:p w:rsidR="00996E98" w:rsidRPr="00996E98" w:rsidRDefault="00996E98" w:rsidP="00C17BF2">
      <w:pPr>
        <w:numPr>
          <w:ilvl w:val="0"/>
          <w:numId w:val="4"/>
        </w:numPr>
        <w:spacing w:before="100" w:beforeAutospacing="1" w:after="12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Обязанности дежурного:</w:t>
      </w:r>
    </w:p>
    <w:p w:rsidR="00996E98" w:rsidRPr="00996E98" w:rsidRDefault="00996E98" w:rsidP="00C17BF2">
      <w:pPr>
        <w:numPr>
          <w:ilvl w:val="1"/>
          <w:numId w:val="4"/>
        </w:numPr>
        <w:spacing w:before="100" w:beforeAutospacing="1" w:after="0" w:line="276" w:lineRule="auto"/>
        <w:ind w:left="567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Кухня: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ротереть поверхности, помыть плиту и раковину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проверить выключение плиты и света, вынести мусор, проконтролировать отсутствие немытой посуды.</w:t>
      </w:r>
    </w:p>
    <w:p w:rsidR="00996E98" w:rsidRPr="00996E98" w:rsidRDefault="00996E98" w:rsidP="00C17BF2">
      <w:pPr>
        <w:numPr>
          <w:ilvl w:val="1"/>
          <w:numId w:val="4"/>
        </w:numPr>
        <w:spacing w:before="100" w:beforeAutospacing="1" w:after="0" w:line="276" w:lineRule="auto"/>
        <w:ind w:left="567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Прачечная: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роверить, не оставлено ли белье в стиральной машине (при наличии — выложить в таз для забытого белья), протереть поверхности.</w:t>
      </w:r>
    </w:p>
    <w:p w:rsidR="00996E98" w:rsidRPr="00996E98" w:rsidRDefault="00996E98" w:rsidP="00C17BF2">
      <w:pPr>
        <w:numPr>
          <w:ilvl w:val="1"/>
          <w:numId w:val="4"/>
        </w:numPr>
        <w:spacing w:before="100" w:beforeAutospacing="1" w:after="0" w:line="276" w:lineRule="auto"/>
        <w:ind w:left="567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Коридор/Холл: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бедиться в отсутствии мусора на полу и вещей, загромождающих проход.</w:t>
      </w:r>
    </w:p>
    <w:p w:rsidR="00996E98" w:rsidRPr="00996E98" w:rsidRDefault="00996E98" w:rsidP="00C17BF2">
      <w:pPr>
        <w:numPr>
          <w:ilvl w:val="0"/>
          <w:numId w:val="4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Права дежурного: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елать устные замечания и сообщать 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коменданту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 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выявленных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нарушениях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 том числе систематических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1.4. Поведение в общих зонах и уважение к соседям</w:t>
      </w:r>
    </w:p>
    <w:p w:rsidR="00996E98" w:rsidRPr="00996E98" w:rsidRDefault="00996E98" w:rsidP="00C17BF2">
      <w:pPr>
        <w:numPr>
          <w:ilvl w:val="0"/>
          <w:numId w:val="5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Перемещение: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ночное время (после 23:00) запрещается хождение по коридору без острой необходимости.</w:t>
      </w:r>
    </w:p>
    <w:p w:rsidR="00996E98" w:rsidRPr="00996E98" w:rsidRDefault="00996E98" w:rsidP="00C17BF2">
      <w:pPr>
        <w:numPr>
          <w:ilvl w:val="0"/>
          <w:numId w:val="5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Общие зоны: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апрещается собираться группами в коридорах и на лестницах, создавая препятствия для прохода.</w:t>
      </w:r>
    </w:p>
    <w:p w:rsidR="00996E98" w:rsidRPr="00996E98" w:rsidRDefault="00996E98" w:rsidP="00C17BF2">
      <w:pPr>
        <w:numPr>
          <w:ilvl w:val="0"/>
          <w:numId w:val="5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Курение: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урение разрешено строго в отведенных местах на улице. Курение в комнатах, туалетах, на лестничных клетках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кухне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 других помещениях общежития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строго запрещено.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1.5. Бережное отношение к имуществу</w:t>
      </w:r>
    </w:p>
    <w:p w:rsidR="00996E98" w:rsidRPr="00996E98" w:rsidRDefault="00996E98" w:rsidP="00C17BF2">
      <w:pPr>
        <w:numPr>
          <w:ilvl w:val="0"/>
          <w:numId w:val="6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Мебель и стены: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апрещается клеить на стены обои, пленку, двусторонний скотч, красить мебель и стены без согласования с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комендантом/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администрацией.</w:t>
      </w:r>
    </w:p>
    <w:p w:rsidR="00996E98" w:rsidRPr="00996E98" w:rsidRDefault="00996E98" w:rsidP="00C17BF2">
      <w:pPr>
        <w:numPr>
          <w:ilvl w:val="0"/>
          <w:numId w:val="6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Экономия ресурсов: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ходя из комнаты или с кухни, необходимо выключать свет, воду и электроприборы.</w:t>
      </w:r>
    </w:p>
    <w:p w:rsidR="00996E98" w:rsidRDefault="00996E98" w:rsidP="00C17BF2">
      <w:pPr>
        <w:numPr>
          <w:ilvl w:val="0"/>
          <w:numId w:val="6"/>
        </w:numPr>
        <w:spacing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Поломки: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031AE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любой неисправности сантехники, электрики или мебели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а также повреждениях имущества общежития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необходимо сообщать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коменданту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максимально сжатый срок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ПРОПУСКНОЙ РЕЖИМ</w:t>
      </w:r>
      <w:r w:rsidR="00031AE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И </w:t>
      </w:r>
      <w:r w:rsidR="00031AE5"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РЕЖИМ ТИШИНЫ</w:t>
      </w:r>
    </w:p>
    <w:p w:rsidR="00031AE5" w:rsidRPr="00996E98" w:rsidRDefault="00031AE5" w:rsidP="00031AE5">
      <w:pPr>
        <w:numPr>
          <w:ilvl w:val="0"/>
          <w:numId w:val="7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Доступ в здание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с</w:t>
      </w:r>
      <w:r w:rsidRPr="00031AE5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 6:00 по 23:00 ежедневно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Проход в здание общежития и выход из него после 23:00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осуществляется по письменному согласованию с комендантом. Основанием для согласования допуска проживающих после указанного времени является расписание занятий, в том числе профессиональных занятий спортом, либо справка с места работы с указанием рабочего графика.</w:t>
      </w:r>
    </w:p>
    <w:p w:rsidR="00031AE5" w:rsidRPr="00031AE5" w:rsidRDefault="00031AE5" w:rsidP="00C17BF2">
      <w:pPr>
        <w:numPr>
          <w:ilvl w:val="0"/>
          <w:numId w:val="7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 xml:space="preserve">Для несовершеннолетних: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проход с 6:00 по 22:00 ежедневно.</w:t>
      </w:r>
    </w:p>
    <w:p w:rsidR="00996E98" w:rsidRPr="00996E98" w:rsidRDefault="00996E98" w:rsidP="00C17BF2">
      <w:pPr>
        <w:numPr>
          <w:ilvl w:val="0"/>
          <w:numId w:val="7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Режим тишины</w:t>
      </w:r>
      <w:r w:rsidR="00031AE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действует ежедневно с 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23:00 до 0</w:t>
      </w:r>
      <w:r w:rsidR="00031AE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:00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C17BF2">
      <w:pPr>
        <w:numPr>
          <w:ilvl w:val="0"/>
          <w:numId w:val="7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Запрещается: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ромко слушать музыку, играть на музыкальных инструментах, кричать, топать, передвигать мебель, шуметь в коридорах и любым другим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способом нарушать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режим тишины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 вечернее время рекомендуется использовать наушники.</w:t>
      </w:r>
    </w:p>
    <w:p w:rsidR="00996E98" w:rsidRPr="00996E98" w:rsidRDefault="00996E98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КОНТРОЛЬ ПОРЯДКА (ПРОВЕРК</w:t>
      </w:r>
      <w:r w:rsidR="00806CB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А</w:t>
      </w: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КОМНАТ)</w:t>
      </w:r>
    </w:p>
    <w:p w:rsidR="00996E98" w:rsidRPr="00996E98" w:rsidRDefault="00996E98" w:rsidP="00C17BF2">
      <w:pPr>
        <w:numPr>
          <w:ilvl w:val="0"/>
          <w:numId w:val="8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Дни и время проверок: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AC1C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два раза в </w:t>
      </w:r>
      <w:r w:rsidR="00AC1C99" w:rsidRPr="00AC1C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неделю</w:t>
      </w:r>
      <w:r w:rsidR="00AC1C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дни по выбору коменданта</w:t>
      </w:r>
      <w:r w:rsidR="00AC1C99" w:rsidRPr="00AC1C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</w:t>
      </w:r>
      <w:r w:rsidRPr="00AC1C99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19:00 до 20:00</w:t>
      </w:r>
      <w:r w:rsidR="002A1167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, если на доске информации не указано иное время</w:t>
      </w:r>
      <w:r w:rsidRPr="00AC1C99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06242E">
      <w:pPr>
        <w:numPr>
          <w:ilvl w:val="0"/>
          <w:numId w:val="8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оценивается:</w:t>
      </w:r>
    </w:p>
    <w:p w:rsidR="00996E98" w:rsidRPr="00996E98" w:rsidRDefault="00996E98" w:rsidP="00C17BF2">
      <w:pPr>
        <w:numPr>
          <w:ilvl w:val="1"/>
          <w:numId w:val="8"/>
        </w:numPr>
        <w:spacing w:before="100" w:beforeAutospacing="1" w:after="0" w:line="276" w:lineRule="auto"/>
        <w:ind w:left="567" w:hanging="284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Чистота на полу, отсутствие пыли.</w:t>
      </w:r>
    </w:p>
    <w:p w:rsidR="00996E98" w:rsidRPr="00996E98" w:rsidRDefault="00996E98" w:rsidP="00C17BF2">
      <w:pPr>
        <w:numPr>
          <w:ilvl w:val="1"/>
          <w:numId w:val="8"/>
        </w:numPr>
        <w:spacing w:before="100" w:beforeAutospacing="1" w:after="0" w:line="276" w:lineRule="auto"/>
        <w:ind w:left="567" w:hanging="284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Заправленная кровать.</w:t>
      </w:r>
    </w:p>
    <w:p w:rsidR="00996E98" w:rsidRPr="00996E98" w:rsidRDefault="00996E98" w:rsidP="00C17BF2">
      <w:pPr>
        <w:numPr>
          <w:ilvl w:val="1"/>
          <w:numId w:val="8"/>
        </w:numPr>
        <w:spacing w:before="100" w:beforeAutospacing="1" w:after="0" w:line="276" w:lineRule="auto"/>
        <w:ind w:left="567" w:hanging="284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продуктов с истекающим сроком годности и немытой посуды.</w:t>
      </w:r>
    </w:p>
    <w:p w:rsidR="00996E98" w:rsidRPr="00996E98" w:rsidRDefault="00996E98" w:rsidP="00C17BF2">
      <w:pPr>
        <w:numPr>
          <w:ilvl w:val="1"/>
          <w:numId w:val="8"/>
        </w:numPr>
        <w:spacing w:before="100" w:beforeAutospacing="1" w:after="0" w:line="276" w:lineRule="auto"/>
        <w:ind w:left="567" w:hanging="284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захламленности (коробки, бутылки, мешающие проходу</w:t>
      </w:r>
      <w:r w:rsidR="002A11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разбросанные личные вещи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996E98" w:rsidRPr="00996E98" w:rsidRDefault="00996E98" w:rsidP="00C17BF2">
      <w:pPr>
        <w:numPr>
          <w:ilvl w:val="1"/>
          <w:numId w:val="8"/>
        </w:numPr>
        <w:spacing w:before="100" w:beforeAutospacing="1" w:after="0" w:line="276" w:lineRule="auto"/>
        <w:ind w:left="567" w:hanging="284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Запрещенные предметы: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личные обогреватели, кипятильники, удлинители в спальных местах (нарушение пожарной безопасности).</w:t>
      </w:r>
    </w:p>
    <w:p w:rsidR="00996E98" w:rsidRPr="00996E98" w:rsidRDefault="00996E98" w:rsidP="00C17BF2">
      <w:pPr>
        <w:numPr>
          <w:ilvl w:val="0"/>
          <w:numId w:val="8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Доступ: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A507D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редоставляется коменданту </w:t>
      </w:r>
      <w:r w:rsidR="003277BE"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обязательно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Отсутствие жильца не отменяет проверку.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5424BB" w:rsidRPr="00996E98" w:rsidRDefault="005424BB" w:rsidP="005424BB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</w:t>
      </w:r>
      <w:r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. 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ФИКСАЦИЯ НАРУШЕНИЙ</w:t>
      </w:r>
    </w:p>
    <w:p w:rsidR="005424BB" w:rsidRPr="00996E98" w:rsidRDefault="005424BB" w:rsidP="005424BB">
      <w:pPr>
        <w:numPr>
          <w:ilvl w:val="0"/>
          <w:numId w:val="10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Фиксация нарушений:</w:t>
      </w:r>
      <w:r w:rsidR="002A11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акт нарушения фиксируется </w:t>
      </w:r>
      <w:r w:rsidR="0006242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комендантом/охраной/администратором общежития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(акт, фото- или видеофиксация). Отказ от дачи объяснений не является препятствием для </w:t>
      </w:r>
      <w:r w:rsidR="0006242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применения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санкци</w:t>
      </w:r>
      <w:r w:rsidR="0006242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й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424BB" w:rsidRPr="00996E98" w:rsidRDefault="005424BB" w:rsidP="005424BB">
      <w:pPr>
        <w:numPr>
          <w:ilvl w:val="0"/>
          <w:numId w:val="10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Ознакомление: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илец обязан ознакомиться с данными правилами под 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роспись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при заселении. Актуальная версия правил всегда размещена на информационном стенде</w:t>
      </w:r>
      <w:r w:rsidR="0006242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на сайте Центра размещения студентов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5424BB" w:rsidRPr="00996E98" w:rsidRDefault="005424BB" w:rsidP="005424BB">
      <w:pPr>
        <w:numPr>
          <w:ilvl w:val="0"/>
          <w:numId w:val="10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Незнание правил: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езнание правил не освобождает от ответственности за их нарушение.</w:t>
      </w:r>
      <w:r w:rsidR="006B085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5424BB" w:rsidRPr="00996E98" w:rsidRDefault="005424BB" w:rsidP="005424BB">
      <w:pPr>
        <w:numPr>
          <w:ilvl w:val="0"/>
          <w:numId w:val="10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Спорные ситуации: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ешаются с администрацией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Центра размещения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часы приема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9:00 до 18:00 в будние дни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путем составления письменного обращения.</w:t>
      </w:r>
    </w:p>
    <w:p w:rsidR="0006242E" w:rsidRDefault="0006242E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sectPr w:rsidR="000624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E98" w:rsidRPr="00996E98" w:rsidRDefault="005424BB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5</w:t>
      </w:r>
      <w:r w:rsidR="00996E98"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ТАБЛИЦА ШТРАФОВ И САНКЦИЙ</w:t>
      </w:r>
    </w:p>
    <w:p w:rsidR="00996E98" w:rsidRPr="00996E98" w:rsidRDefault="00996E98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Денежные средства удерживаются из </w:t>
      </w:r>
      <w:r w:rsidRPr="00996E98">
        <w:rPr>
          <w:rFonts w:ascii="Segoe UI" w:eastAsia="Times New Roman" w:hAnsi="Segoe UI" w:cs="Segoe UI"/>
          <w:b/>
          <w:bCs/>
          <w:i/>
          <w:iCs/>
          <w:color w:val="0F1115"/>
          <w:sz w:val="24"/>
          <w:szCs w:val="24"/>
          <w:lang w:eastAsia="ru-RU"/>
        </w:rPr>
        <w:t>обеспечительного платежа</w:t>
      </w:r>
      <w:r w:rsidRPr="00996E9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2197"/>
        <w:gridCol w:w="4610"/>
        <w:gridCol w:w="2835"/>
      </w:tblGrid>
      <w:tr w:rsidR="00996E98" w:rsidRPr="00996E98" w:rsidTr="005424BB">
        <w:trPr>
          <w:tblHeader/>
        </w:trPr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C17BF2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Категория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C17BF2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Нарушение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C17BF2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Штраф</w:t>
            </w:r>
          </w:p>
        </w:tc>
      </w:tr>
      <w:tr w:rsidR="00996E98" w:rsidRPr="00996E98" w:rsidTr="005424BB">
        <w:trPr>
          <w:trHeight w:val="148"/>
        </w:trPr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Шум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Нарушение тишины после 23:00 (перв</w:t>
            </w:r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ое/повторное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нарушение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</w:t>
            </w:r>
            <w:r w:rsidR="005424B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 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000</w:t>
            </w:r>
            <w:r w:rsidR="005424B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/ 5 000 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₽</w:t>
            </w:r>
          </w:p>
        </w:tc>
      </w:tr>
      <w:tr w:rsidR="00996E98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Порядок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5424BB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</w:t>
            </w:r>
            <w:r w:rsidR="00A507DD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ахождение на</w:t>
            </w:r>
            <w:r w:rsidR="00996E98"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="00A507DD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другом этаже </w:t>
            </w:r>
            <w:r w:rsidR="00996E98"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после 23:00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(перв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ое/повторное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нарушение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5424BB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 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000</w:t>
            </w: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/ 5 000 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₽</w:t>
            </w:r>
          </w:p>
        </w:tc>
      </w:tr>
      <w:tr w:rsidR="00996E98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Кухня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Нарушение режима работы кухни 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2 000 ₽</w:t>
            </w:r>
          </w:p>
        </w:tc>
      </w:tr>
      <w:tr w:rsidR="00996E98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Антисанитария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Неудовлетворительное состояние комнаты по итогам проверки </w:t>
            </w:r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- 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грязь, мусор, немытая посуда, просроч</w:t>
            </w:r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енные продукты (в случае </w:t>
            </w:r>
            <w:proofErr w:type="spellStart"/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неустранения</w:t>
            </w:r>
            <w:proofErr w:type="spellEnd"/>
            <w:r w:rsidR="005424B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первое/повторное нарушения)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5424BB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 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000</w:t>
            </w: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/ 5 000 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₽</w:t>
            </w:r>
          </w:p>
        </w:tc>
      </w:tr>
      <w:tr w:rsidR="00996E98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Дежурство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Уклонение от дежурства по графику в местах общего пользования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1 000 ₽</w:t>
            </w:r>
          </w:p>
        </w:tc>
      </w:tr>
      <w:tr w:rsidR="0006242E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6242E" w:rsidRPr="00996E98" w:rsidRDefault="0006242E" w:rsidP="0006242E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Повреждение имущества общежития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Повреждение мебели,</w:t>
            </w:r>
            <w:r w:rsidR="002A116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дверей, элементов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отделки, сантехники, </w:t>
            </w:r>
            <w:r w:rsidR="002A1167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прочего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оборудования общежития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6242E" w:rsidRPr="00996E98" w:rsidRDefault="0006242E" w:rsidP="0006242E">
            <w:pPr>
              <w:spacing w:after="0" w:line="276" w:lineRule="auto"/>
              <w:ind w:right="136"/>
              <w:jc w:val="both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2 000 </w:t>
            </w: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₽</w:t>
            </w: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+ стоимость ремонта/замены поврежденного имущества</w:t>
            </w:r>
          </w:p>
        </w:tc>
      </w:tr>
      <w:tr w:rsidR="0006242E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Финансы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Невосполнение</w:t>
            </w:r>
            <w:proofErr w:type="spellEnd"/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обеспечительного платежа в течение 7 дней после удержания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ind w:right="134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Пеня 1% в день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или ограничение доступа к услугам*</w:t>
            </w:r>
          </w:p>
        </w:tc>
      </w:tr>
      <w:tr w:rsidR="0006242E" w:rsidRPr="00996E98" w:rsidTr="005424BB"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Грубые нарушения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Систематические нарушения (более 3-х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нарушений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за месяц), порча имущества, драки, появление в состоянии опьянения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242E" w:rsidRPr="00996E98" w:rsidRDefault="0006242E" w:rsidP="0006242E">
            <w:pPr>
              <w:spacing w:after="0" w:line="276" w:lineRule="auto"/>
              <w:ind w:right="134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Выселение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(без возврата остатка платежа)</w:t>
            </w:r>
          </w:p>
        </w:tc>
      </w:tr>
      <w:tr w:rsidR="00996E98" w:rsidRPr="00996E98" w:rsidTr="005424BB">
        <w:trPr>
          <w:trHeight w:val="16"/>
        </w:trPr>
        <w:tc>
          <w:tcPr>
            <w:tcW w:w="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06242E" w:rsidP="005424BB">
            <w:pPr>
              <w:spacing w:after="0" w:line="276" w:lineRule="auto"/>
              <w:ind w:right="-242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1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46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96E98" w:rsidRPr="00996E98" w:rsidRDefault="00996E98" w:rsidP="006F1537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Курение в помещении, использование запрещенных обогревателей, оставление плиты без присмотра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96E98" w:rsidRPr="00996E98" w:rsidRDefault="00996E98" w:rsidP="005424BB">
            <w:pPr>
              <w:spacing w:after="0" w:line="276" w:lineRule="auto"/>
              <w:ind w:right="134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96E9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Немедленное выселение</w:t>
            </w:r>
            <w:r w:rsidRPr="00996E9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(без возврата платежа)</w:t>
            </w:r>
          </w:p>
        </w:tc>
      </w:tr>
    </w:tbl>
    <w:p w:rsidR="00996E98" w:rsidRPr="00996E98" w:rsidRDefault="0006242E" w:rsidP="00C17BF2">
      <w:pPr>
        <w:spacing w:before="480" w:after="240" w:line="276" w:lineRule="auto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6</w:t>
      </w:r>
      <w:r w:rsidR="00996E98" w:rsidRPr="00996E9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. ПОРЯДОК ОПЛАТЫ И ВОССТАНОВЛЕНИЯ ПЛАТЕЖА</w:t>
      </w:r>
    </w:p>
    <w:p w:rsidR="00996E98" w:rsidRPr="00996E98" w:rsidRDefault="00996E98" w:rsidP="00C17BF2">
      <w:pPr>
        <w:numPr>
          <w:ilvl w:val="0"/>
          <w:numId w:val="9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штрафы, указанные в Разделе 4, удерживаются администрацией из 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обеспечительного платежа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проживающего.</w:t>
      </w:r>
    </w:p>
    <w:p w:rsidR="00996E98" w:rsidRPr="00996E98" w:rsidRDefault="00996E98" w:rsidP="00C17BF2">
      <w:pPr>
        <w:numPr>
          <w:ilvl w:val="0"/>
          <w:numId w:val="9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Удержание производится на основании акта о нарушении, составленного </w:t>
      </w:r>
      <w:r w:rsidR="00C17BF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комендантом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(с фото- или видеофиксацией при возможности).</w:t>
      </w:r>
    </w:p>
    <w:p w:rsidR="00996E98" w:rsidRPr="00996E98" w:rsidRDefault="00996E98" w:rsidP="00C17BF2">
      <w:pPr>
        <w:numPr>
          <w:ilvl w:val="0"/>
          <w:numId w:val="9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Проживающий уведомляется об удержании в письменной форме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через мессенджер (</w:t>
      </w:r>
      <w:proofErr w:type="spellStart"/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Telegram</w:t>
      </w:r>
      <w:proofErr w:type="spellEnd"/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/</w:t>
      </w:r>
      <w:proofErr w:type="spellStart"/>
      <w:r w:rsidR="00715B01"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WhatsApp</w:t>
      </w:r>
      <w:proofErr w:type="spellEnd"/>
      <w:r w:rsidR="00715B0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/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пр.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либо по электронной почте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96E98" w:rsidRPr="00996E98" w:rsidRDefault="00996E98" w:rsidP="00C17BF2">
      <w:pPr>
        <w:numPr>
          <w:ilvl w:val="0"/>
          <w:numId w:val="9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случае удержания любой суммы, проживающий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обязан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пополнить обеспечительный платеж до полного первоначального размера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течение</w:t>
      </w:r>
      <w:r w:rsidR="003277B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 (семи) календарных дней</w:t>
      </w: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момента уведомления.</w:t>
      </w:r>
    </w:p>
    <w:p w:rsidR="00996E98" w:rsidRPr="00996E98" w:rsidRDefault="00996E98" w:rsidP="00C17BF2">
      <w:pPr>
        <w:numPr>
          <w:ilvl w:val="0"/>
          <w:numId w:val="9"/>
        </w:numPr>
        <w:spacing w:before="100" w:beforeAutospacing="1" w:after="0" w:line="276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невыполнении пункта 5.4 применяется штраф (пеня), предусмотренный п. 6 Таблицы штрафов.</w:t>
      </w:r>
    </w:p>
    <w:p w:rsidR="00851439" w:rsidRDefault="00851439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851439" w:rsidRDefault="00851439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sectPr w:rsidR="008514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E98" w:rsidRDefault="00996E98" w:rsidP="00C17BF2">
      <w:pPr>
        <w:spacing w:before="240" w:after="240" w:line="276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96E9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 правилами ознакомлен(а) и обязуюсь их выполнять: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695"/>
      </w:tblGrid>
      <w:tr w:rsidR="00851439" w:rsidTr="009069C1">
        <w:tc>
          <w:tcPr>
            <w:tcW w:w="5807" w:type="dxa"/>
            <w:shd w:val="clear" w:color="auto" w:fill="F2F2F2" w:themeFill="background1" w:themeFillShade="F2"/>
          </w:tcPr>
          <w:p w:rsidR="00851439" w:rsidRPr="009069C1" w:rsidRDefault="00851439" w:rsidP="00851439">
            <w:pPr>
              <w:spacing w:line="276" w:lineRule="auto"/>
              <w:jc w:val="center"/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</w:pPr>
            <w:r w:rsidRPr="009069C1"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51439" w:rsidRPr="009069C1" w:rsidRDefault="00851439" w:rsidP="00851439">
            <w:pPr>
              <w:spacing w:line="276" w:lineRule="auto"/>
              <w:jc w:val="center"/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</w:pPr>
            <w:r w:rsidRPr="009069C1"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:rsidR="00851439" w:rsidRPr="009069C1" w:rsidRDefault="00851439" w:rsidP="00851439">
            <w:pPr>
              <w:spacing w:line="276" w:lineRule="auto"/>
              <w:jc w:val="center"/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</w:pPr>
            <w:r w:rsidRPr="009069C1"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ru-RU"/>
              </w:rPr>
              <w:t>Дата</w:t>
            </w: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851439" w:rsidTr="009069C1">
        <w:trPr>
          <w:trHeight w:val="612"/>
        </w:trPr>
        <w:tc>
          <w:tcPr>
            <w:tcW w:w="5807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851439" w:rsidRDefault="00851439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  <w:tr w:rsidR="009069C1" w:rsidTr="009069C1">
        <w:trPr>
          <w:trHeight w:val="612"/>
        </w:trPr>
        <w:tc>
          <w:tcPr>
            <w:tcW w:w="5807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69C1" w:rsidRDefault="009069C1" w:rsidP="00851439">
            <w:pPr>
              <w:spacing w:line="276" w:lineRule="auto"/>
              <w:jc w:val="both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F6142E" w:rsidRDefault="00FB0BE0" w:rsidP="009069C1">
      <w:pPr>
        <w:spacing w:after="0" w:line="276" w:lineRule="auto"/>
        <w:jc w:val="both"/>
      </w:pPr>
    </w:p>
    <w:sectPr w:rsidR="00F6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B76"/>
    <w:multiLevelType w:val="multilevel"/>
    <w:tmpl w:val="638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97101"/>
    <w:multiLevelType w:val="multilevel"/>
    <w:tmpl w:val="200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B6B3D"/>
    <w:multiLevelType w:val="multilevel"/>
    <w:tmpl w:val="902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2D62"/>
    <w:multiLevelType w:val="multilevel"/>
    <w:tmpl w:val="7DB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9232E"/>
    <w:multiLevelType w:val="multilevel"/>
    <w:tmpl w:val="8A5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57384"/>
    <w:multiLevelType w:val="multilevel"/>
    <w:tmpl w:val="DB2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8288A"/>
    <w:multiLevelType w:val="multilevel"/>
    <w:tmpl w:val="F0DC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73BEB"/>
    <w:multiLevelType w:val="multilevel"/>
    <w:tmpl w:val="E7D4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759C1"/>
    <w:multiLevelType w:val="multilevel"/>
    <w:tmpl w:val="1A20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67F80"/>
    <w:multiLevelType w:val="multilevel"/>
    <w:tmpl w:val="291E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98"/>
    <w:rsid w:val="00031AE5"/>
    <w:rsid w:val="0006242E"/>
    <w:rsid w:val="00091BFA"/>
    <w:rsid w:val="00297658"/>
    <w:rsid w:val="002A1167"/>
    <w:rsid w:val="003277BE"/>
    <w:rsid w:val="004C5D66"/>
    <w:rsid w:val="005424BB"/>
    <w:rsid w:val="006B0852"/>
    <w:rsid w:val="006F1537"/>
    <w:rsid w:val="00715B01"/>
    <w:rsid w:val="00806CBC"/>
    <w:rsid w:val="00851439"/>
    <w:rsid w:val="009069C1"/>
    <w:rsid w:val="00996E98"/>
    <w:rsid w:val="00A507DD"/>
    <w:rsid w:val="00AC1C99"/>
    <w:rsid w:val="00C17BF2"/>
    <w:rsid w:val="00C27543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846E5-261C-4CA9-B0FA-26C54BA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6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E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9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96E98"/>
    <w:rPr>
      <w:i/>
      <w:iCs/>
    </w:rPr>
  </w:style>
  <w:style w:type="character" w:styleId="a4">
    <w:name w:val="Strong"/>
    <w:basedOn w:val="a0"/>
    <w:uiPriority w:val="22"/>
    <w:qFormat/>
    <w:rsid w:val="00996E98"/>
    <w:rPr>
      <w:b/>
      <w:bCs/>
    </w:rPr>
  </w:style>
  <w:style w:type="table" w:styleId="a5">
    <w:name w:val="Table Grid"/>
    <w:basedOn w:val="a1"/>
    <w:uiPriority w:val="39"/>
    <w:rsid w:val="0085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Тужикова Марина Вячеславовна</dc:creator>
  <cp:keywords/>
  <dc:description/>
  <cp:lastModifiedBy>Тужикова Марина Вячеславовна</cp:lastModifiedBy>
  <cp:revision>2</cp:revision>
  <dcterms:created xsi:type="dcterms:W3CDTF">2026-03-12T12:12:00Z</dcterms:created>
  <dcterms:modified xsi:type="dcterms:W3CDTF">2026-03-12T12:12:00Z</dcterms:modified>
</cp:coreProperties>
</file>